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BBE0B" w14:textId="4C4290B9" w:rsidR="009A6D2C" w:rsidRPr="00291EE0" w:rsidRDefault="009A6D2C" w:rsidP="00291EE0">
      <w:pPr>
        <w:spacing w:after="0" w:line="256" w:lineRule="auto"/>
        <w:ind w:left="0" w:right="130" w:firstLine="0"/>
        <w:jc w:val="center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b/>
          <w:bCs/>
          <w:szCs w:val="24"/>
        </w:rPr>
        <w:t>Zarządzenie Nr 185/2020</w:t>
      </w:r>
    </w:p>
    <w:p w14:paraId="41BF03D1" w14:textId="77777777" w:rsidR="00291EE0" w:rsidRDefault="009A6D2C" w:rsidP="00291EE0">
      <w:pPr>
        <w:spacing w:after="0" w:line="232" w:lineRule="auto"/>
        <w:ind w:left="0" w:right="14"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Wójta Gminy Ełk</w:t>
      </w:r>
    </w:p>
    <w:p w14:paraId="234655CF" w14:textId="476CF355" w:rsidR="009A6D2C" w:rsidRDefault="009A6D2C" w:rsidP="00291EE0">
      <w:pPr>
        <w:tabs>
          <w:tab w:val="left" w:pos="6237"/>
        </w:tabs>
        <w:spacing w:after="0" w:line="232" w:lineRule="auto"/>
        <w:ind w:left="0" w:right="14"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 dnia 11 września 2020 r.</w:t>
      </w:r>
    </w:p>
    <w:p w14:paraId="39BFE68F" w14:textId="77777777" w:rsidR="00291EE0" w:rsidRDefault="00291EE0" w:rsidP="00291EE0">
      <w:pPr>
        <w:tabs>
          <w:tab w:val="left" w:pos="6237"/>
        </w:tabs>
        <w:spacing w:after="0" w:line="232" w:lineRule="auto"/>
        <w:ind w:left="0" w:right="14" w:firstLine="0"/>
        <w:jc w:val="center"/>
        <w:rPr>
          <w:rFonts w:ascii="Arial" w:hAnsi="Arial" w:cs="Arial"/>
          <w:b/>
          <w:bCs/>
          <w:szCs w:val="24"/>
        </w:rPr>
      </w:pPr>
    </w:p>
    <w:p w14:paraId="5C56A750" w14:textId="77777777" w:rsidR="009A6D2C" w:rsidRDefault="009A6D2C" w:rsidP="00291EE0">
      <w:pPr>
        <w:spacing w:after="543" w:line="240" w:lineRule="auto"/>
        <w:ind w:left="14" w:right="310" w:hanging="1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 sprawie sposobu potwierdzania zawarcia umowy dzierżawy gruntów zaliczonych do użytków rolnych w Urzędzie Gminy Ełk</w:t>
      </w:r>
    </w:p>
    <w:p w14:paraId="035D877D" w14:textId="51C3C35F" w:rsidR="009A6D2C" w:rsidRDefault="009A6D2C" w:rsidP="009A6D2C">
      <w:pPr>
        <w:spacing w:after="261"/>
        <w:ind w:left="50" w:right="1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podstawie art. 3</w:t>
      </w:r>
      <w:r w:rsidR="004F483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</w:t>
      </w:r>
      <w:r w:rsidR="004F483B">
        <w:rPr>
          <w:rFonts w:ascii="Arial" w:hAnsi="Arial" w:cs="Arial"/>
          <w:sz w:val="23"/>
          <w:szCs w:val="23"/>
        </w:rPr>
        <w:t xml:space="preserve">ust. 1 </w:t>
      </w:r>
      <w:r>
        <w:rPr>
          <w:rFonts w:ascii="Arial" w:hAnsi="Arial" w:cs="Arial"/>
          <w:sz w:val="23"/>
          <w:szCs w:val="23"/>
        </w:rPr>
        <w:t xml:space="preserve">i art. 33 </w:t>
      </w:r>
      <w:r w:rsidR="004F483B">
        <w:rPr>
          <w:rFonts w:ascii="Arial" w:hAnsi="Arial" w:cs="Arial"/>
          <w:sz w:val="23"/>
          <w:szCs w:val="23"/>
        </w:rPr>
        <w:t xml:space="preserve">ust.1 </w:t>
      </w:r>
      <w:r>
        <w:rPr>
          <w:rFonts w:ascii="Arial" w:hAnsi="Arial" w:cs="Arial"/>
          <w:sz w:val="23"/>
          <w:szCs w:val="23"/>
        </w:rPr>
        <w:t>ustawy z dnia 8 marca 1990 r. o samorządzie gminnym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>. Dz.U. z 2020</w:t>
      </w:r>
      <w:r w:rsidR="008B237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 poz. 713) zarządzam co następuje:</w:t>
      </w:r>
    </w:p>
    <w:p w14:paraId="362372EB" w14:textId="7460C8DC" w:rsidR="009A6D2C" w:rsidRDefault="009A6D2C" w:rsidP="009A6D2C">
      <w:pPr>
        <w:spacing w:after="286"/>
        <w:ind w:left="51" w:right="1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1</w:t>
      </w:r>
      <w:r>
        <w:rPr>
          <w:rFonts w:ascii="Arial" w:hAnsi="Arial" w:cs="Arial"/>
          <w:sz w:val="23"/>
          <w:szCs w:val="23"/>
        </w:rPr>
        <w:t xml:space="preserve">. Potwierdzanie zawarcia umów dzierżawy, o których mowa w art. 28 ust. 4 pkt 1 </w:t>
      </w:r>
      <w:r>
        <w:rPr>
          <w:rFonts w:ascii="Arial" w:hAnsi="Arial" w:cs="Arial"/>
          <w:sz w:val="23"/>
          <w:szCs w:val="23"/>
        </w:rPr>
        <w:br/>
        <w:t>i art. 38 pkt 1 ustawy z dnia 20 grudnia 1990 roku o ubezpieczeniu społecznym rolników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>. Dz. U. z 2020 r., poz. 174</w:t>
      </w:r>
      <w:r w:rsidR="004F483B">
        <w:rPr>
          <w:rFonts w:ascii="Arial" w:hAnsi="Arial" w:cs="Arial"/>
          <w:sz w:val="23"/>
          <w:szCs w:val="23"/>
        </w:rPr>
        <w:t xml:space="preserve"> i 7</w:t>
      </w:r>
      <w:r>
        <w:rPr>
          <w:rFonts w:ascii="Arial" w:hAnsi="Arial" w:cs="Arial"/>
          <w:sz w:val="23"/>
          <w:szCs w:val="23"/>
        </w:rPr>
        <w:t>82) należy do zadań Referatu ds. Podatków i Opłat.</w:t>
      </w:r>
    </w:p>
    <w:p w14:paraId="08FC772B" w14:textId="77777777" w:rsidR="009A6D2C" w:rsidRDefault="009A6D2C" w:rsidP="009A6D2C">
      <w:pPr>
        <w:spacing w:line="244" w:lineRule="auto"/>
        <w:ind w:left="28" w:right="1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2</w:t>
      </w:r>
      <w:r>
        <w:rPr>
          <w:rFonts w:ascii="Arial" w:hAnsi="Arial" w:cs="Arial"/>
          <w:sz w:val="23"/>
          <w:szCs w:val="23"/>
        </w:rPr>
        <w:t xml:space="preserve">. Fakt potwierdzenia zawarcia umowy odnotowuje się w Rejestrze Umów Dzierżawy, </w:t>
      </w:r>
      <w:r>
        <w:rPr>
          <w:rFonts w:ascii="Arial" w:hAnsi="Arial" w:cs="Arial"/>
          <w:sz w:val="23"/>
          <w:szCs w:val="23"/>
        </w:rPr>
        <w:br/>
        <w:t xml:space="preserve">w którym zamieszcza się następujące dane: </w:t>
      </w:r>
    </w:p>
    <w:p w14:paraId="58745F45" w14:textId="4707F067" w:rsidR="009A6D2C" w:rsidRPr="004F483B" w:rsidRDefault="009A6D2C" w:rsidP="004F483B">
      <w:pPr>
        <w:pStyle w:val="Akapitzlist"/>
        <w:numPr>
          <w:ilvl w:val="0"/>
          <w:numId w:val="2"/>
        </w:numPr>
        <w:spacing w:line="244" w:lineRule="auto"/>
        <w:ind w:right="14"/>
        <w:jc w:val="both"/>
        <w:rPr>
          <w:rFonts w:ascii="Arial" w:hAnsi="Arial" w:cs="Arial"/>
          <w:sz w:val="23"/>
          <w:szCs w:val="23"/>
        </w:rPr>
      </w:pPr>
      <w:r w:rsidRPr="004F483B">
        <w:rPr>
          <w:rFonts w:ascii="Arial" w:hAnsi="Arial" w:cs="Arial"/>
          <w:sz w:val="23"/>
          <w:szCs w:val="23"/>
        </w:rPr>
        <w:t>liczba porządkowa,</w:t>
      </w:r>
    </w:p>
    <w:p w14:paraId="0377D22E" w14:textId="77777777" w:rsidR="009A6D2C" w:rsidRDefault="009A6D2C" w:rsidP="009A6D2C">
      <w:pPr>
        <w:pStyle w:val="Akapitzlist"/>
        <w:numPr>
          <w:ilvl w:val="0"/>
          <w:numId w:val="2"/>
        </w:numPr>
        <w:spacing w:line="244" w:lineRule="auto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zawarcia umowy,</w:t>
      </w:r>
    </w:p>
    <w:p w14:paraId="26C6E8B5" w14:textId="77777777" w:rsidR="009A6D2C" w:rsidRDefault="009A6D2C" w:rsidP="009A6D2C">
      <w:pPr>
        <w:pStyle w:val="Akapitzlist"/>
        <w:numPr>
          <w:ilvl w:val="0"/>
          <w:numId w:val="2"/>
        </w:numPr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dane stron umowy,</w:t>
      </w:r>
    </w:p>
    <w:p w14:paraId="37DA31DC" w14:textId="33F851ED" w:rsidR="009A6D2C" w:rsidRDefault="008B2377" w:rsidP="009A6D2C">
      <w:pPr>
        <w:pStyle w:val="Akapitzlist"/>
        <w:numPr>
          <w:ilvl w:val="0"/>
          <w:numId w:val="2"/>
        </w:numPr>
        <w:spacing w:after="262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9A6D2C"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 xml:space="preserve"> </w:t>
      </w:r>
      <w:r w:rsidR="009A6D2C">
        <w:rPr>
          <w:rFonts w:ascii="Arial" w:hAnsi="Arial" w:cs="Arial"/>
          <w:sz w:val="23"/>
          <w:szCs w:val="23"/>
        </w:rPr>
        <w:t>ewidencyjny</w:t>
      </w:r>
      <w:r w:rsidR="004F483B">
        <w:rPr>
          <w:rFonts w:ascii="Arial" w:hAnsi="Arial" w:cs="Arial"/>
          <w:sz w:val="23"/>
          <w:szCs w:val="23"/>
        </w:rPr>
        <w:t xml:space="preserve"> działki (działek)</w:t>
      </w:r>
      <w:r w:rsidR="009A6D2C">
        <w:rPr>
          <w:rFonts w:ascii="Arial" w:hAnsi="Arial" w:cs="Arial"/>
          <w:sz w:val="23"/>
          <w:szCs w:val="23"/>
        </w:rPr>
        <w:t xml:space="preserve"> i powierzchnia nieruchomości</w:t>
      </w:r>
      <w:r w:rsidR="00D451E4">
        <w:rPr>
          <w:rFonts w:ascii="Arial" w:hAnsi="Arial" w:cs="Arial"/>
          <w:sz w:val="23"/>
          <w:szCs w:val="23"/>
        </w:rPr>
        <w:t xml:space="preserve"> </w:t>
      </w:r>
      <w:r w:rsidR="009A6D2C">
        <w:rPr>
          <w:rFonts w:ascii="Arial" w:hAnsi="Arial" w:cs="Arial"/>
          <w:sz w:val="23"/>
          <w:szCs w:val="23"/>
        </w:rPr>
        <w:t>będącej</w:t>
      </w:r>
      <w:r>
        <w:rPr>
          <w:rFonts w:ascii="Arial" w:hAnsi="Arial" w:cs="Arial"/>
          <w:sz w:val="23"/>
          <w:szCs w:val="23"/>
        </w:rPr>
        <w:t xml:space="preserve"> </w:t>
      </w:r>
      <w:r w:rsidR="009A6D2C">
        <w:rPr>
          <w:rFonts w:ascii="Arial" w:hAnsi="Arial" w:cs="Arial"/>
          <w:sz w:val="23"/>
          <w:szCs w:val="23"/>
        </w:rPr>
        <w:t xml:space="preserve">przedmiotem dzierżawy, </w:t>
      </w:r>
    </w:p>
    <w:p w14:paraId="48B7910C" w14:textId="77777777" w:rsidR="009A6D2C" w:rsidRDefault="009A6D2C" w:rsidP="009A6D2C">
      <w:pPr>
        <w:pStyle w:val="Akapitzlist"/>
        <w:numPr>
          <w:ilvl w:val="0"/>
          <w:numId w:val="2"/>
        </w:numPr>
        <w:spacing w:after="262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dokonania potwierdzenia.</w:t>
      </w:r>
    </w:p>
    <w:p w14:paraId="20FFB1A4" w14:textId="157268F6" w:rsidR="004F483B" w:rsidRDefault="009A6D2C" w:rsidP="004F483B">
      <w:pPr>
        <w:spacing w:after="262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3</w:t>
      </w:r>
      <w:r>
        <w:rPr>
          <w:rFonts w:ascii="Arial" w:hAnsi="Arial" w:cs="Arial"/>
          <w:sz w:val="23"/>
          <w:szCs w:val="23"/>
        </w:rPr>
        <w:t>. Przed dokonaniem potwierdzenia zawarcia umowy pracownik dokonuje sprawdzenia zgodności danych dotyczących własności, oznaczenia i powierzchni gruntów z danymi wynikającymi z ewidencji gruntów i budynków</w:t>
      </w:r>
      <w:r w:rsidR="00D451E4">
        <w:rPr>
          <w:rFonts w:ascii="Arial" w:hAnsi="Arial" w:cs="Arial"/>
          <w:sz w:val="23"/>
          <w:szCs w:val="23"/>
        </w:rPr>
        <w:t>. W</w:t>
      </w:r>
      <w:r>
        <w:rPr>
          <w:rFonts w:ascii="Arial" w:hAnsi="Arial" w:cs="Arial"/>
          <w:sz w:val="23"/>
          <w:szCs w:val="23"/>
        </w:rPr>
        <w:t xml:space="preserve"> razie ich niezgodności </w:t>
      </w:r>
      <w:r w:rsidR="004F483B">
        <w:rPr>
          <w:rFonts w:ascii="Arial" w:hAnsi="Arial" w:cs="Arial"/>
          <w:sz w:val="23"/>
          <w:szCs w:val="23"/>
        </w:rPr>
        <w:t xml:space="preserve">zwraca uwagę stronom umowy na tą nieprawidłowość </w:t>
      </w:r>
      <w:r w:rsidR="00D451E4">
        <w:rPr>
          <w:rFonts w:ascii="Arial" w:hAnsi="Arial" w:cs="Arial"/>
          <w:sz w:val="23"/>
          <w:szCs w:val="23"/>
        </w:rPr>
        <w:t>oraz zobowiązuje strony do poprawienia umowy dzierżawy.</w:t>
      </w:r>
    </w:p>
    <w:p w14:paraId="58F7584D" w14:textId="387B5A74" w:rsidR="009A6D2C" w:rsidRDefault="009A6D2C" w:rsidP="00D451E4">
      <w:pPr>
        <w:spacing w:after="262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4</w:t>
      </w:r>
      <w:r>
        <w:rPr>
          <w:rFonts w:ascii="Arial" w:hAnsi="Arial" w:cs="Arial"/>
          <w:sz w:val="23"/>
          <w:szCs w:val="23"/>
        </w:rPr>
        <w:t>. Potwierdzenia zawarcia umowy dokonuje się na wniosek wydzierżawiającego lub dzierżawcy w terminie 7 dni. Wzór wniosku stanowi załącznik nr 1</w:t>
      </w:r>
      <w:r w:rsidR="00ED222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</w:t>
      </w:r>
      <w:r w:rsidR="00ED222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niniejszego zarządzenia.</w:t>
      </w:r>
    </w:p>
    <w:p w14:paraId="63B0ED19" w14:textId="148F00AC" w:rsidR="00A25EAA" w:rsidRDefault="00A25EAA" w:rsidP="009A6D2C">
      <w:pPr>
        <w:spacing w:after="0" w:line="21" w:lineRule="atLeast"/>
        <w:ind w:left="0" w:right="14" w:firstLine="0"/>
        <w:jc w:val="both"/>
        <w:rPr>
          <w:rFonts w:ascii="Arial" w:hAnsi="Arial" w:cs="Arial"/>
          <w:sz w:val="23"/>
          <w:szCs w:val="23"/>
        </w:rPr>
      </w:pPr>
      <w:r w:rsidRPr="00A25EAA">
        <w:rPr>
          <w:rFonts w:ascii="Arial" w:hAnsi="Arial" w:cs="Arial"/>
          <w:b/>
          <w:bCs/>
          <w:sz w:val="23"/>
          <w:szCs w:val="23"/>
        </w:rPr>
        <w:t>§ 5.</w:t>
      </w:r>
      <w:r w:rsidRPr="00A25EAA">
        <w:rPr>
          <w:rFonts w:ascii="Arial" w:hAnsi="Arial" w:cs="Arial"/>
          <w:sz w:val="23"/>
          <w:szCs w:val="23"/>
        </w:rPr>
        <w:t xml:space="preserve"> Potwierdzenia zawarcia umowy dzierżawy dokonuje się na oryginale przedłożonej </w:t>
      </w:r>
      <w:r>
        <w:rPr>
          <w:rFonts w:ascii="Arial" w:hAnsi="Arial" w:cs="Arial"/>
          <w:sz w:val="23"/>
          <w:szCs w:val="23"/>
        </w:rPr>
        <w:br/>
      </w:r>
      <w:r w:rsidRPr="00A25EAA">
        <w:rPr>
          <w:rFonts w:ascii="Arial" w:hAnsi="Arial" w:cs="Arial"/>
          <w:sz w:val="23"/>
          <w:szCs w:val="23"/>
        </w:rPr>
        <w:t xml:space="preserve">umowy, w formie adnotacji o treści: „Potwierdzam zawarcie umowy dzierżawy" wraz </w:t>
      </w:r>
      <w:r>
        <w:rPr>
          <w:rFonts w:ascii="Arial" w:hAnsi="Arial" w:cs="Arial"/>
          <w:sz w:val="23"/>
          <w:szCs w:val="23"/>
        </w:rPr>
        <w:br/>
      </w:r>
      <w:r w:rsidRPr="00A25EAA">
        <w:rPr>
          <w:rFonts w:ascii="Arial" w:hAnsi="Arial" w:cs="Arial"/>
          <w:sz w:val="23"/>
          <w:szCs w:val="23"/>
        </w:rPr>
        <w:t>z datą, podpisem i pieczątką osoby upoważnionej.</w:t>
      </w:r>
    </w:p>
    <w:p w14:paraId="22145518" w14:textId="77777777" w:rsidR="00A25EAA" w:rsidRDefault="00A25EAA" w:rsidP="009A6D2C">
      <w:pPr>
        <w:spacing w:after="0" w:line="21" w:lineRule="atLeast"/>
        <w:ind w:left="0" w:right="14" w:firstLine="0"/>
        <w:jc w:val="both"/>
        <w:rPr>
          <w:rFonts w:ascii="Arial" w:hAnsi="Arial" w:cs="Arial"/>
          <w:sz w:val="23"/>
          <w:szCs w:val="23"/>
        </w:rPr>
      </w:pPr>
    </w:p>
    <w:p w14:paraId="464FB389" w14:textId="0FB57B8D" w:rsidR="00A25EAA" w:rsidRPr="00A25EAA" w:rsidRDefault="00A25EAA" w:rsidP="009A6D2C">
      <w:pPr>
        <w:spacing w:after="0" w:line="21" w:lineRule="atLeast"/>
        <w:ind w:left="0" w:right="14" w:firstLine="0"/>
        <w:jc w:val="both"/>
        <w:rPr>
          <w:rFonts w:ascii="Arial" w:hAnsi="Arial" w:cs="Arial"/>
          <w:b/>
          <w:bCs/>
          <w:noProof/>
          <w:sz w:val="23"/>
          <w:szCs w:val="23"/>
        </w:rPr>
      </w:pPr>
      <w:r w:rsidRPr="00A25EAA">
        <w:rPr>
          <w:rFonts w:ascii="Arial" w:hAnsi="Arial" w:cs="Arial"/>
          <w:b/>
          <w:bCs/>
          <w:sz w:val="23"/>
          <w:szCs w:val="23"/>
        </w:rPr>
        <w:t>§ 6.</w:t>
      </w:r>
      <w:r w:rsidRPr="00A25EAA">
        <w:rPr>
          <w:rFonts w:ascii="Arial" w:hAnsi="Arial" w:cs="Arial"/>
          <w:sz w:val="23"/>
          <w:szCs w:val="23"/>
        </w:rPr>
        <w:t xml:space="preserve"> Po potwierdzeniu zawarcia umowy pracownik sporządza kopię umowy, która jest przechowywana w zasobach Urzędu. Na kopii pracownik potwierdza zgodność kopii </w:t>
      </w:r>
      <w:r>
        <w:rPr>
          <w:rFonts w:ascii="Arial" w:hAnsi="Arial" w:cs="Arial"/>
          <w:sz w:val="23"/>
          <w:szCs w:val="23"/>
        </w:rPr>
        <w:br/>
      </w:r>
      <w:r w:rsidRPr="00A25EAA">
        <w:rPr>
          <w:rFonts w:ascii="Arial" w:hAnsi="Arial" w:cs="Arial"/>
          <w:sz w:val="23"/>
          <w:szCs w:val="23"/>
        </w:rPr>
        <w:t>z oryginałem.</w:t>
      </w:r>
    </w:p>
    <w:p w14:paraId="0325BD31" w14:textId="77777777" w:rsidR="00A25EAA" w:rsidRDefault="00A25EAA" w:rsidP="009A6D2C">
      <w:pPr>
        <w:spacing w:after="0" w:line="21" w:lineRule="atLeast"/>
        <w:ind w:left="0" w:right="14" w:firstLine="0"/>
        <w:jc w:val="both"/>
        <w:rPr>
          <w:rFonts w:ascii="Arial" w:hAnsi="Arial" w:cs="Arial"/>
          <w:b/>
          <w:bCs/>
          <w:noProof/>
          <w:sz w:val="23"/>
          <w:szCs w:val="23"/>
        </w:rPr>
      </w:pPr>
    </w:p>
    <w:p w14:paraId="488006EA" w14:textId="7DF57445" w:rsidR="009A6D2C" w:rsidRDefault="00D451E4" w:rsidP="009A6D2C">
      <w:pPr>
        <w:spacing w:line="21" w:lineRule="atLeast"/>
        <w:ind w:right="14"/>
        <w:jc w:val="both"/>
        <w:rPr>
          <w:rFonts w:ascii="Arial" w:hAnsi="Arial" w:cs="Arial"/>
          <w:sz w:val="23"/>
          <w:szCs w:val="23"/>
        </w:rPr>
      </w:pPr>
      <w:r w:rsidRPr="00D451E4">
        <w:rPr>
          <w:rFonts w:ascii="Arial" w:hAnsi="Arial" w:cs="Arial"/>
          <w:b/>
          <w:bCs/>
          <w:sz w:val="23"/>
          <w:szCs w:val="23"/>
        </w:rPr>
        <w:t>§ 7.</w:t>
      </w:r>
      <w:r>
        <w:rPr>
          <w:rFonts w:ascii="Arial" w:hAnsi="Arial" w:cs="Arial"/>
          <w:sz w:val="23"/>
          <w:szCs w:val="23"/>
        </w:rPr>
        <w:t xml:space="preserve"> </w:t>
      </w:r>
      <w:r w:rsidR="009A6D2C">
        <w:rPr>
          <w:rFonts w:ascii="Arial" w:hAnsi="Arial" w:cs="Arial"/>
          <w:sz w:val="23"/>
          <w:szCs w:val="23"/>
        </w:rPr>
        <w:t>Wykonanie zarządzenia powierza się Skarbnikowi Gminy Ełk.</w:t>
      </w:r>
    </w:p>
    <w:p w14:paraId="729613AD" w14:textId="77777777" w:rsidR="009A6D2C" w:rsidRDefault="009A6D2C" w:rsidP="009A6D2C">
      <w:pPr>
        <w:spacing w:line="21" w:lineRule="atLeast"/>
        <w:ind w:left="50" w:right="14" w:firstLine="57"/>
        <w:jc w:val="both"/>
        <w:rPr>
          <w:rFonts w:ascii="Arial" w:hAnsi="Arial" w:cs="Arial"/>
          <w:sz w:val="23"/>
          <w:szCs w:val="23"/>
        </w:rPr>
      </w:pPr>
    </w:p>
    <w:p w14:paraId="027DB76E" w14:textId="0FC12FDF" w:rsidR="009A6D2C" w:rsidRDefault="009A6D2C" w:rsidP="009A6D2C">
      <w:pPr>
        <w:spacing w:line="21" w:lineRule="atLeast"/>
        <w:ind w:right="1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§ </w:t>
      </w:r>
      <w:r w:rsidR="00D451E4">
        <w:rPr>
          <w:rFonts w:ascii="Arial" w:hAnsi="Arial" w:cs="Arial"/>
          <w:b/>
          <w:bCs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 xml:space="preserve">. Zarządzenie wchodzi w życie z dniem </w:t>
      </w:r>
      <w:r w:rsidR="00D451E4">
        <w:rPr>
          <w:rFonts w:ascii="Arial" w:hAnsi="Arial" w:cs="Arial"/>
          <w:sz w:val="23"/>
          <w:szCs w:val="23"/>
        </w:rPr>
        <w:t>podpisania.</w:t>
      </w:r>
    </w:p>
    <w:p w14:paraId="2BF2B9E0" w14:textId="77777777" w:rsidR="009A6D2C" w:rsidRDefault="009A6D2C" w:rsidP="009A6D2C">
      <w:pPr>
        <w:tabs>
          <w:tab w:val="center" w:pos="7465"/>
          <w:tab w:val="right" w:pos="8881"/>
        </w:tabs>
        <w:spacing w:after="0" w:line="21" w:lineRule="atLeast"/>
        <w:ind w:left="0" w:right="14" w:firstLine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19D181B9" w14:textId="1639B7F2" w:rsidR="009A6D2C" w:rsidRDefault="00553ED6" w:rsidP="00553ED6">
      <w:pPr>
        <w:tabs>
          <w:tab w:val="center" w:pos="7465"/>
          <w:tab w:val="right" w:pos="8881"/>
        </w:tabs>
        <w:spacing w:after="0" w:line="256" w:lineRule="auto"/>
        <w:ind w:left="5529" w:right="14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WÓJT</w:t>
      </w:r>
    </w:p>
    <w:p w14:paraId="3F528D4A" w14:textId="28DDB79B" w:rsidR="00553ED6" w:rsidRDefault="00553ED6" w:rsidP="00553ED6">
      <w:pPr>
        <w:tabs>
          <w:tab w:val="center" w:pos="7465"/>
          <w:tab w:val="right" w:pos="8881"/>
        </w:tabs>
        <w:spacing w:after="0" w:line="256" w:lineRule="auto"/>
        <w:ind w:left="5529" w:right="14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(-) mgr Tomasz Osewski</w:t>
      </w:r>
    </w:p>
    <w:p w14:paraId="5D868A2B" w14:textId="78FC33B9" w:rsidR="00C3762F" w:rsidRPr="00C3762F" w:rsidRDefault="00C3762F" w:rsidP="00535F56">
      <w:pPr>
        <w:spacing w:after="0" w:line="259" w:lineRule="auto"/>
        <w:ind w:left="0" w:right="130" w:firstLine="0"/>
        <w:jc w:val="center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b/>
          <w:bCs/>
          <w:sz w:val="30"/>
        </w:rPr>
        <w:tab/>
      </w:r>
      <w:r>
        <w:rPr>
          <w:rFonts w:ascii="Arial" w:hAnsi="Arial" w:cs="Arial"/>
          <w:i/>
          <w:iCs/>
          <w:sz w:val="30"/>
        </w:rPr>
        <w:t xml:space="preserve">                         </w:t>
      </w:r>
    </w:p>
    <w:p w14:paraId="4EDDEC56" w14:textId="77777777" w:rsidR="00A6704C" w:rsidRPr="00A33180" w:rsidRDefault="00A6704C" w:rsidP="00535F56">
      <w:pPr>
        <w:tabs>
          <w:tab w:val="center" w:pos="7465"/>
          <w:tab w:val="right" w:pos="8881"/>
        </w:tabs>
        <w:spacing w:after="0" w:line="259" w:lineRule="auto"/>
        <w:ind w:left="0" w:right="14" w:firstLine="0"/>
        <w:jc w:val="both"/>
        <w:rPr>
          <w:rFonts w:ascii="Arial" w:hAnsi="Arial" w:cs="Arial"/>
        </w:rPr>
      </w:pPr>
    </w:p>
    <w:sectPr w:rsidR="00A6704C" w:rsidRPr="00A33180" w:rsidSect="00535F56">
      <w:pgSz w:w="1192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80FD2"/>
    <w:multiLevelType w:val="hybridMultilevel"/>
    <w:tmpl w:val="2D3CB61A"/>
    <w:lvl w:ilvl="0" w:tplc="A768D62C">
      <w:start w:val="1"/>
      <w:numFmt w:val="decimal"/>
      <w:lvlText w:val="%1)"/>
      <w:lvlJc w:val="left"/>
      <w:pPr>
        <w:ind w:left="39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6D"/>
    <w:rsid w:val="000762CB"/>
    <w:rsid w:val="00291EE0"/>
    <w:rsid w:val="004F483B"/>
    <w:rsid w:val="00535F56"/>
    <w:rsid w:val="00553ED6"/>
    <w:rsid w:val="00573CDB"/>
    <w:rsid w:val="008B2377"/>
    <w:rsid w:val="0099096D"/>
    <w:rsid w:val="009A6D2C"/>
    <w:rsid w:val="00A0378F"/>
    <w:rsid w:val="00A25EAA"/>
    <w:rsid w:val="00A33180"/>
    <w:rsid w:val="00A646A6"/>
    <w:rsid w:val="00A6704C"/>
    <w:rsid w:val="00C20138"/>
    <w:rsid w:val="00C3762F"/>
    <w:rsid w:val="00C37B1C"/>
    <w:rsid w:val="00D451E4"/>
    <w:rsid w:val="00DB63D9"/>
    <w:rsid w:val="00ED222B"/>
    <w:rsid w:val="00E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8DD"/>
  <w15:docId w15:val="{9CB74087-2836-4CD6-A28D-D707EE6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2" w:lineRule="auto"/>
      <w:ind w:left="22" w:firstLine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5013-B3E8-42D4-8D7C-671A4783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Mażewska</dc:creator>
  <cp:keywords/>
  <cp:lastModifiedBy>Renata Nowosielska</cp:lastModifiedBy>
  <cp:revision>2</cp:revision>
  <cp:lastPrinted>2020-09-15T11:55:00Z</cp:lastPrinted>
  <dcterms:created xsi:type="dcterms:W3CDTF">2020-09-16T13:02:00Z</dcterms:created>
  <dcterms:modified xsi:type="dcterms:W3CDTF">2020-09-16T13:02:00Z</dcterms:modified>
</cp:coreProperties>
</file>